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938"/>
      </w:tblGrid>
      <w:tr w:rsidR="00A607D2" w:rsidRPr="00A74430" w:rsidTr="001D14A0">
        <w:tc>
          <w:tcPr>
            <w:tcW w:w="1242" w:type="dxa"/>
            <w:shd w:val="clear" w:color="auto" w:fill="D9D9D9"/>
          </w:tcPr>
          <w:p w:rsidR="00A607D2" w:rsidRPr="00A74430" w:rsidRDefault="00A607D2" w:rsidP="001D14A0">
            <w:pPr>
              <w:spacing w:after="0" w:line="240" w:lineRule="auto"/>
              <w:rPr>
                <w:rFonts w:ascii="Times New Roman" w:hAnsi="Times New Roman" w:cs="Times New Roman"/>
                <w:b/>
                <w:bCs/>
                <w:sz w:val="24"/>
                <w:szCs w:val="24"/>
              </w:rPr>
            </w:pPr>
            <w:r w:rsidRPr="00A74430">
              <w:rPr>
                <w:rFonts w:ascii="Times New Roman" w:hAnsi="Times New Roman" w:cs="Times New Roman"/>
                <w:b/>
                <w:bCs/>
                <w:sz w:val="24"/>
                <w:szCs w:val="24"/>
              </w:rPr>
              <w:t>Cours 6</w:t>
            </w:r>
          </w:p>
        </w:tc>
        <w:tc>
          <w:tcPr>
            <w:tcW w:w="7938" w:type="dxa"/>
          </w:tcPr>
          <w:p w:rsidR="00A607D2" w:rsidRPr="0073001F" w:rsidRDefault="00A607D2" w:rsidP="001D14A0">
            <w:pPr>
              <w:spacing w:after="0" w:line="240" w:lineRule="auto"/>
              <w:rPr>
                <w:rFonts w:ascii="Times New Roman" w:hAnsi="Times New Roman" w:cs="Times New Roman"/>
                <w:b/>
                <w:bCs/>
                <w:sz w:val="24"/>
                <w:szCs w:val="24"/>
              </w:rPr>
            </w:pPr>
            <w:r w:rsidRPr="0073001F">
              <w:rPr>
                <w:rFonts w:ascii="Times New Roman" w:hAnsi="Times New Roman" w:cs="Times New Roman"/>
                <w:b/>
                <w:bCs/>
                <w:sz w:val="24"/>
                <w:szCs w:val="24"/>
              </w:rPr>
              <w:t xml:space="preserve">Le verbe : approche morphologique, place et catégorisation  </w:t>
            </w:r>
          </w:p>
        </w:tc>
      </w:tr>
    </w:tbl>
    <w:p w:rsidR="00A607D2" w:rsidRDefault="00A607D2" w:rsidP="00A607D2">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2394585</wp:posOffset>
                </wp:positionH>
                <wp:positionV relativeFrom="paragraph">
                  <wp:posOffset>248920</wp:posOffset>
                </wp:positionV>
                <wp:extent cx="3338830" cy="1205865"/>
                <wp:effectExtent l="8890" t="11430" r="5080" b="1143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8830" cy="1205865"/>
                        </a:xfrm>
                        <a:prstGeom prst="rect">
                          <a:avLst/>
                        </a:prstGeom>
                        <a:solidFill>
                          <a:srgbClr val="FFFFFF"/>
                        </a:solidFill>
                        <a:ln w="9525">
                          <a:solidFill>
                            <a:srgbClr val="000000"/>
                          </a:solidFill>
                          <a:miter lim="800000"/>
                          <a:headEnd/>
                          <a:tailEnd/>
                        </a:ln>
                      </wps:spPr>
                      <wps:txbx>
                        <w:txbxContent>
                          <w:p w:rsidR="00A607D2" w:rsidRPr="00A74430" w:rsidRDefault="00A607D2" w:rsidP="00A607D2">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A607D2" w:rsidRDefault="00A607D2" w:rsidP="00A607D2">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Le verbe : essais de définition</w:t>
                            </w:r>
                          </w:p>
                          <w:p w:rsidR="00A607D2" w:rsidRDefault="00A607D2" w:rsidP="00A607D2">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Traitement du verbe entre linguistique et grammaire  </w:t>
                            </w:r>
                          </w:p>
                          <w:p w:rsidR="00A607D2" w:rsidRPr="00FE1D5D" w:rsidRDefault="00A607D2" w:rsidP="00A607D2">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Difficultés de la </w:t>
                            </w:r>
                            <w:r w:rsidRPr="00FE1D5D">
                              <w:rPr>
                                <w:rFonts w:ascii="Times New Roman" w:hAnsi="Times New Roman" w:cs="Times New Roman"/>
                                <w:b/>
                                <w:bCs/>
                              </w:rPr>
                              <w:t xml:space="preserve">conjugaison en classe de FLE   </w:t>
                            </w:r>
                          </w:p>
                          <w:p w:rsidR="00A607D2" w:rsidRPr="00A74430" w:rsidRDefault="00A607D2" w:rsidP="00A607D2">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A607D2" w:rsidRPr="00A74430" w:rsidRDefault="00A607D2" w:rsidP="00A607D2">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188.55pt;margin-top:19.6pt;width:262.9pt;height:9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">
                <v:textbox>
                  <w:txbxContent>
                    <w:p w:rsidR="00A607D2" w:rsidRPr="00A74430" w:rsidRDefault="00A607D2" w:rsidP="00A607D2">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p>
                    <w:p w:rsidR="00A607D2" w:rsidRDefault="00A607D2" w:rsidP="00A607D2">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Le verbe : essais de définition</w:t>
                      </w:r>
                    </w:p>
                    <w:p w:rsidR="00A607D2" w:rsidRDefault="00A607D2" w:rsidP="00A607D2">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Traitement du verbe entre linguistique et grammaire  </w:t>
                      </w:r>
                    </w:p>
                    <w:p w:rsidR="00A607D2" w:rsidRPr="00FE1D5D" w:rsidRDefault="00A607D2" w:rsidP="00A607D2">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Difficultés de la </w:t>
                      </w:r>
                      <w:r w:rsidRPr="00FE1D5D">
                        <w:rPr>
                          <w:rFonts w:ascii="Times New Roman" w:hAnsi="Times New Roman" w:cs="Times New Roman"/>
                          <w:b/>
                          <w:bCs/>
                        </w:rPr>
                        <w:t xml:space="preserve">conjugaison en classe de FLE   </w:t>
                      </w:r>
                    </w:p>
                    <w:p w:rsidR="00A607D2" w:rsidRPr="00A74430" w:rsidRDefault="00A607D2" w:rsidP="00A607D2">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A607D2" w:rsidRPr="00A74430" w:rsidRDefault="00A607D2" w:rsidP="00A607D2">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v:textbox>
              </v:shape>
            </w:pict>
          </mc:Fallback>
        </mc:AlternateContent>
      </w:r>
    </w:p>
    <w:p w:rsidR="00A607D2" w:rsidRDefault="00A607D2" w:rsidP="00A607D2">
      <w:pPr>
        <w:tabs>
          <w:tab w:val="left" w:pos="0"/>
        </w:tabs>
        <w:spacing w:after="0" w:line="360" w:lineRule="auto"/>
        <w:jc w:val="both"/>
        <w:rPr>
          <w:rFonts w:ascii="Times New Roman" w:hAnsi="Times New Roman" w:cs="Times New Roman"/>
          <w:sz w:val="24"/>
          <w:szCs w:val="24"/>
        </w:rPr>
      </w:pPr>
    </w:p>
    <w:p w:rsidR="00A607D2" w:rsidRPr="00B64AD2" w:rsidRDefault="00A607D2" w:rsidP="00A607D2">
      <w:pPr>
        <w:rPr>
          <w:rFonts w:ascii="Times New Roman" w:hAnsi="Times New Roman" w:cs="Times New Roman"/>
          <w:sz w:val="24"/>
          <w:szCs w:val="24"/>
        </w:rPr>
      </w:pPr>
    </w:p>
    <w:p w:rsidR="00A607D2" w:rsidRPr="00B64AD2" w:rsidRDefault="00A607D2" w:rsidP="00A607D2">
      <w:pPr>
        <w:rPr>
          <w:rFonts w:ascii="Times New Roman" w:hAnsi="Times New Roman" w:cs="Times New Roman"/>
          <w:sz w:val="24"/>
          <w:szCs w:val="24"/>
        </w:rPr>
      </w:pPr>
    </w:p>
    <w:p w:rsidR="00A607D2" w:rsidRPr="00B64AD2" w:rsidRDefault="00A607D2" w:rsidP="00A607D2">
      <w:pPr>
        <w:rPr>
          <w:rFonts w:ascii="Times New Roman" w:hAnsi="Times New Roman" w:cs="Times New Roman"/>
          <w:sz w:val="24"/>
          <w:szCs w:val="24"/>
        </w:rPr>
      </w:pPr>
    </w:p>
    <w:p w:rsidR="00A607D2" w:rsidRPr="00892953" w:rsidRDefault="00A607D2" w:rsidP="00A607D2">
      <w:pPr>
        <w:rPr>
          <w:rFonts w:ascii="Times New Roman" w:hAnsi="Times New Roman" w:cs="Times New Roman"/>
          <w:b/>
          <w:bCs/>
          <w:sz w:val="24"/>
          <w:szCs w:val="24"/>
        </w:rPr>
      </w:pPr>
      <w:r w:rsidRPr="00892953">
        <w:rPr>
          <w:rFonts w:ascii="Times New Roman" w:hAnsi="Times New Roman" w:cs="Times New Roman"/>
          <w:b/>
          <w:bCs/>
          <w:sz w:val="24"/>
          <w:szCs w:val="24"/>
        </w:rPr>
        <w:t xml:space="preserve">Objectifs du cours : </w:t>
      </w:r>
    </w:p>
    <w:p w:rsidR="00A607D2" w:rsidRPr="007D0C4E" w:rsidRDefault="00A607D2" w:rsidP="00A607D2">
      <w:pPr>
        <w:numPr>
          <w:ilvl w:val="0"/>
          <w:numId w:val="1"/>
        </w:numPr>
        <w:spacing w:before="100" w:beforeAutospacing="1" w:after="100" w:afterAutospacing="1" w:line="360" w:lineRule="auto"/>
        <w:ind w:left="714" w:hanging="357"/>
        <w:rPr>
          <w:rFonts w:ascii="Times New Roman" w:hAnsi="Times New Roman" w:cs="Times New Roman"/>
          <w:sz w:val="24"/>
          <w:szCs w:val="24"/>
        </w:rPr>
      </w:pPr>
      <w:r w:rsidRPr="007D0C4E">
        <w:rPr>
          <w:rFonts w:ascii="Times New Roman" w:hAnsi="Times New Roman" w:cs="Times New Roman"/>
          <w:sz w:val="24"/>
          <w:szCs w:val="24"/>
        </w:rPr>
        <w:t xml:space="preserve">Discuter les différentes définitions du verbe. </w:t>
      </w:r>
    </w:p>
    <w:p w:rsidR="00A607D2" w:rsidRPr="007D0C4E" w:rsidRDefault="00A607D2" w:rsidP="00A607D2">
      <w:pPr>
        <w:numPr>
          <w:ilvl w:val="0"/>
          <w:numId w:val="1"/>
        </w:numPr>
        <w:tabs>
          <w:tab w:val="left" w:pos="0"/>
        </w:tabs>
        <w:spacing w:before="100" w:beforeAutospacing="1" w:after="100" w:afterAutospacing="1" w:line="360" w:lineRule="auto"/>
        <w:ind w:left="714" w:hanging="357"/>
        <w:jc w:val="both"/>
        <w:rPr>
          <w:rFonts w:ascii="Times New Roman" w:hAnsi="Times New Roman" w:cs="Times New Roman"/>
          <w:sz w:val="24"/>
          <w:szCs w:val="24"/>
        </w:rPr>
      </w:pPr>
      <w:r w:rsidRPr="007D0C4E">
        <w:rPr>
          <w:rFonts w:ascii="Times New Roman" w:hAnsi="Times New Roman" w:cs="Times New Roman"/>
          <w:sz w:val="24"/>
          <w:szCs w:val="24"/>
        </w:rPr>
        <w:t xml:space="preserve">Présenter le verbe selon les différentes approches.  </w:t>
      </w:r>
    </w:p>
    <w:p w:rsidR="00A607D2" w:rsidRPr="007D0C4E" w:rsidRDefault="00A607D2" w:rsidP="00A607D2">
      <w:pPr>
        <w:numPr>
          <w:ilvl w:val="0"/>
          <w:numId w:val="1"/>
        </w:numPr>
        <w:spacing w:before="100" w:beforeAutospacing="1" w:after="100" w:afterAutospacing="1" w:line="360" w:lineRule="auto"/>
        <w:ind w:left="714" w:hanging="357"/>
        <w:rPr>
          <w:rFonts w:ascii="Times New Roman" w:hAnsi="Times New Roman" w:cs="Times New Roman"/>
          <w:sz w:val="24"/>
          <w:szCs w:val="24"/>
        </w:rPr>
      </w:pPr>
      <w:r w:rsidRPr="007D0C4E">
        <w:rPr>
          <w:rFonts w:ascii="Times New Roman" w:hAnsi="Times New Roman" w:cs="Times New Roman"/>
          <w:sz w:val="24"/>
          <w:szCs w:val="24"/>
        </w:rPr>
        <w:t xml:space="preserve">Débattre la problématique de l’enseignement-apprentissage de la conjugaison.   </w:t>
      </w:r>
    </w:p>
    <w:p w:rsidR="00A607D2" w:rsidRPr="00B64AD2" w:rsidRDefault="00A607D2" w:rsidP="00A607D2">
      <w:pPr>
        <w:jc w:val="both"/>
        <w:rPr>
          <w:rFonts w:ascii="Times New Roman" w:hAnsi="Times New Roman" w:cs="Times New Roman"/>
          <w:b/>
          <w:bCs/>
          <w:sz w:val="24"/>
          <w:szCs w:val="24"/>
        </w:rPr>
      </w:pPr>
      <w:r w:rsidRPr="00B64AD2">
        <w:rPr>
          <w:rFonts w:ascii="Times New Roman" w:hAnsi="Times New Roman" w:cs="Times New Roman"/>
          <w:b/>
          <w:bCs/>
          <w:sz w:val="24"/>
          <w:szCs w:val="24"/>
        </w:rPr>
        <w:t xml:space="preserve">Introduction : </w:t>
      </w: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Les études linguistiques et grammaticales consacrées au verbe s’inscrivent majoritairement sous deux angles : a) morphologique (ou plutôt morphosyntaxique), explorant des points liés aux systèmes flexionnels, sommairement soulevés dans le chapitre précédent, b) sémantique, étudiant les valeurs des temps verbaux et leur usage en langue et en discours.</w:t>
      </w: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GUILLAUME (G.) avait d’ailleurs consacré beaucoup de volumes à cette catégorie grammaticale depuis sa première contribution </w:t>
      </w:r>
      <w:r w:rsidRPr="00E10483">
        <w:rPr>
          <w:rFonts w:ascii="Times New Roman" w:hAnsi="Times New Roman" w:cs="Times New Roman"/>
          <w:i/>
          <w:iCs/>
          <w:sz w:val="24"/>
          <w:szCs w:val="24"/>
        </w:rPr>
        <w:t>Temps et Verbe</w:t>
      </w:r>
      <w:r>
        <w:rPr>
          <w:rFonts w:ascii="Times New Roman" w:hAnsi="Times New Roman" w:cs="Times New Roman"/>
          <w:sz w:val="24"/>
          <w:szCs w:val="24"/>
        </w:rPr>
        <w:t>, parue en 1929</w:t>
      </w:r>
      <w:r w:rsidRPr="000B4B63">
        <w:rPr>
          <w:rStyle w:val="Appelnotedebasdep"/>
          <w:rFonts w:ascii="Times New Roman" w:hAnsi="Times New Roman" w:cs="Times New Roman"/>
          <w:b/>
          <w:bCs/>
          <w:sz w:val="24"/>
          <w:szCs w:val="24"/>
        </w:rPr>
        <w:footnoteReference w:id="1"/>
      </w:r>
      <w:r>
        <w:rPr>
          <w:rFonts w:ascii="Times New Roman" w:hAnsi="Times New Roman" w:cs="Times New Roman"/>
          <w:sz w:val="24"/>
          <w:szCs w:val="24"/>
        </w:rPr>
        <w:t>. Un demi-</w:t>
      </w:r>
      <w:r w:rsidRPr="00195867">
        <w:rPr>
          <w:rFonts w:ascii="Times New Roman" w:hAnsi="Times New Roman" w:cs="Times New Roman"/>
          <w:sz w:val="24"/>
          <w:szCs w:val="24"/>
        </w:rPr>
        <w:t xml:space="preserve">siècle plus tard, IMBS est revenu sur l’importance des études sur le verbe par la publication de </w:t>
      </w:r>
      <w:r w:rsidRPr="00195867">
        <w:rPr>
          <w:rStyle w:val="Accentuation"/>
          <w:rFonts w:ascii="Times New Roman" w:hAnsi="Times New Roman" w:cs="Times New Roman"/>
          <w:sz w:val="24"/>
          <w:szCs w:val="24"/>
        </w:rPr>
        <w:t xml:space="preserve">L’Emploi des temps verbaux en français moderne </w:t>
      </w:r>
      <w:r w:rsidRPr="00195867">
        <w:rPr>
          <w:rStyle w:val="Accentuation"/>
          <w:rFonts w:ascii="Times New Roman" w:hAnsi="Times New Roman" w:cs="Times New Roman"/>
          <w:i w:val="0"/>
          <w:iCs w:val="0"/>
          <w:sz w:val="24"/>
          <w:szCs w:val="24"/>
        </w:rPr>
        <w:t>en</w:t>
      </w:r>
      <w:r w:rsidRPr="00195867">
        <w:rPr>
          <w:rStyle w:val="Accentuation"/>
          <w:rFonts w:ascii="Times New Roman" w:hAnsi="Times New Roman" w:cs="Times New Roman"/>
          <w:sz w:val="24"/>
          <w:szCs w:val="24"/>
        </w:rPr>
        <w:t xml:space="preserve"> </w:t>
      </w:r>
      <w:r w:rsidRPr="00195867">
        <w:rPr>
          <w:rFonts w:ascii="Times New Roman" w:hAnsi="Times New Roman" w:cs="Times New Roman"/>
          <w:sz w:val="24"/>
          <w:szCs w:val="24"/>
        </w:rPr>
        <w:t>1968</w:t>
      </w:r>
      <w:r w:rsidRPr="00500AD2">
        <w:rPr>
          <w:rStyle w:val="Appelnotedebasdep"/>
          <w:rFonts w:ascii="Times New Roman" w:hAnsi="Times New Roman" w:cs="Times New Roman"/>
          <w:b/>
          <w:bCs/>
          <w:sz w:val="24"/>
          <w:szCs w:val="24"/>
        </w:rPr>
        <w:footnoteReference w:id="2"/>
      </w:r>
      <w:r w:rsidRPr="00195867">
        <w:rPr>
          <w:rFonts w:ascii="Times New Roman" w:hAnsi="Times New Roman" w:cs="Times New Roman"/>
          <w:sz w:val="24"/>
          <w:szCs w:val="24"/>
        </w:rPr>
        <w:t>.</w:t>
      </w:r>
      <w:r>
        <w:rPr>
          <w:rFonts w:ascii="Times New Roman" w:hAnsi="Times New Roman" w:cs="Times New Roman"/>
          <w:sz w:val="24"/>
          <w:szCs w:val="24"/>
        </w:rPr>
        <w:t xml:space="preserve"> </w:t>
      </w:r>
    </w:p>
    <w:p w:rsidR="00A607D2" w:rsidRDefault="00A607D2" w:rsidP="00A607D2">
      <w:pPr>
        <w:spacing w:after="0" w:line="360" w:lineRule="auto"/>
        <w:jc w:val="both"/>
        <w:rPr>
          <w:rFonts w:ascii="Times New Roman" w:hAnsi="Times New Roman" w:cs="Times New Roman"/>
          <w:sz w:val="24"/>
          <w:szCs w:val="24"/>
        </w:rPr>
      </w:pP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En parcourant les maintes contributions se focalisant sur cette catégorie importante, à savoir le verbe, nous allons, dans ce cours, présenter cette notion à la lumière de la grammaire et de la linguistique, avec un intérêt particulier et supplémentaire donné à l’aspect morphosémantique. Un intérêt qui se justifie par le fait que l’approche visée et explorée dans cette formation est d’ordre double : phonologique et morphologique. </w:t>
      </w: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Cela étant dit, le cours suivra le plan suivant : </w:t>
      </w:r>
    </w:p>
    <w:p w:rsidR="00A607D2" w:rsidRDefault="00A607D2" w:rsidP="00A607D2">
      <w:pPr>
        <w:spacing w:after="0" w:line="360" w:lineRule="auto"/>
        <w:jc w:val="both"/>
        <w:rPr>
          <w:rFonts w:ascii="Times New Roman" w:hAnsi="Times New Roman" w:cs="Times New Roman"/>
          <w:sz w:val="24"/>
          <w:szCs w:val="24"/>
        </w:rPr>
      </w:pPr>
    </w:p>
    <w:p w:rsidR="00A607D2" w:rsidRDefault="00A607D2" w:rsidP="00A607D2">
      <w:pPr>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définition du verbe. </w:t>
      </w:r>
    </w:p>
    <w:p w:rsidR="00A607D2" w:rsidRDefault="00A607D2" w:rsidP="00A607D2">
      <w:pPr>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Le traitement du verbe entre grammaire et linguistique</w:t>
      </w:r>
    </w:p>
    <w:p w:rsidR="00A607D2" w:rsidRDefault="00A607D2" w:rsidP="00A607D2">
      <w:pPr>
        <w:numPr>
          <w:ilvl w:val="0"/>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verbe : entre grammaire scolaire et nouvelle grammaire </w:t>
      </w:r>
    </w:p>
    <w:p w:rsidR="00A607D2" w:rsidRDefault="00A607D2" w:rsidP="00A607D2">
      <w:pPr>
        <w:spacing w:after="0" w:line="360" w:lineRule="auto"/>
        <w:jc w:val="both"/>
        <w:rPr>
          <w:rFonts w:ascii="Times New Roman" w:hAnsi="Times New Roman" w:cs="Times New Roman"/>
          <w:sz w:val="24"/>
          <w:szCs w:val="24"/>
        </w:rPr>
      </w:pPr>
    </w:p>
    <w:p w:rsidR="00A607D2" w:rsidRPr="008E1FA5" w:rsidRDefault="00A607D2" w:rsidP="00A607D2">
      <w:pPr>
        <w:numPr>
          <w:ilvl w:val="0"/>
          <w:numId w:val="4"/>
        </w:numPr>
        <w:spacing w:after="0" w:line="360" w:lineRule="auto"/>
        <w:jc w:val="both"/>
        <w:rPr>
          <w:rFonts w:ascii="Times New Roman" w:hAnsi="Times New Roman" w:cs="Times New Roman"/>
          <w:b/>
          <w:bCs/>
          <w:sz w:val="24"/>
          <w:szCs w:val="24"/>
        </w:rPr>
      </w:pPr>
      <w:r w:rsidRPr="008E1FA5">
        <w:rPr>
          <w:rFonts w:ascii="Times New Roman" w:hAnsi="Times New Roman" w:cs="Times New Roman"/>
          <w:b/>
          <w:bCs/>
          <w:sz w:val="24"/>
          <w:szCs w:val="24"/>
        </w:rPr>
        <w:t xml:space="preserve">Le verbe : essais de définition </w:t>
      </w:r>
    </w:p>
    <w:p w:rsidR="00A607D2" w:rsidRDefault="00A607D2" w:rsidP="00A607D2">
      <w:pPr>
        <w:spacing w:after="0" w:line="360" w:lineRule="auto"/>
        <w:jc w:val="both"/>
        <w:rPr>
          <w:rFonts w:ascii="Times New Roman" w:hAnsi="Times New Roman" w:cs="Times New Roman"/>
          <w:sz w:val="24"/>
          <w:szCs w:val="24"/>
        </w:rPr>
      </w:pP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L’objectif de ce point est loin de déboucher sur une définition convaincante du verbe, mais il va s’agir beaucoup plus de sélectionner quelques définitions pertinentes de cette classe grammaticales puis d’en dégager certaines spécificités et nuances comparatives entre elles. </w:t>
      </w:r>
    </w:p>
    <w:p w:rsidR="00A607D2" w:rsidRDefault="00A607D2" w:rsidP="00A607D2">
      <w:pPr>
        <w:spacing w:after="0" w:line="360" w:lineRule="auto"/>
        <w:jc w:val="both"/>
        <w:rPr>
          <w:rFonts w:ascii="Times New Roman" w:hAnsi="Times New Roman" w:cs="Times New Roman"/>
          <w:sz w:val="24"/>
          <w:szCs w:val="24"/>
        </w:rPr>
      </w:pPr>
    </w:p>
    <w:p w:rsidR="00A607D2" w:rsidRPr="00F7653B"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Nous référençons, en premier lieu, une acception normative, avancée par Grevisse, où « l</w:t>
      </w:r>
      <w:r w:rsidRPr="00917309">
        <w:rPr>
          <w:rFonts w:ascii="Times New Roman" w:hAnsi="Times New Roman" w:cs="Times New Roman"/>
          <w:sz w:val="24"/>
          <w:szCs w:val="24"/>
        </w:rPr>
        <w:t xml:space="preserve">e verbe est un mot qui se conjugue, c’est-à-dire qui varie en mode, en temps, en voix, en </w:t>
      </w:r>
      <w:r w:rsidRPr="00F7653B">
        <w:rPr>
          <w:rFonts w:ascii="Times New Roman" w:hAnsi="Times New Roman" w:cs="Times New Roman"/>
          <w:sz w:val="24"/>
          <w:szCs w:val="24"/>
        </w:rPr>
        <w:t>personne et en nombre »</w:t>
      </w:r>
      <w:r w:rsidRPr="00500AD2">
        <w:rPr>
          <w:rStyle w:val="Appelnotedebasdep"/>
          <w:rFonts w:ascii="Times New Roman" w:hAnsi="Times New Roman" w:cs="Times New Roman"/>
          <w:b/>
          <w:bCs/>
          <w:sz w:val="24"/>
          <w:szCs w:val="24"/>
        </w:rPr>
        <w:footnoteReference w:id="3"/>
      </w:r>
      <w:r w:rsidRPr="00F7653B">
        <w:rPr>
          <w:rFonts w:ascii="Times New Roman" w:hAnsi="Times New Roman" w:cs="Times New Roman"/>
          <w:sz w:val="24"/>
          <w:szCs w:val="24"/>
        </w:rPr>
        <w:t xml:space="preserve">. Un critère exclusif et distinctif est ainsi avancé : la conjugaison, qui est propre uniquement au verbe. </w:t>
      </w:r>
    </w:p>
    <w:p w:rsidR="00A607D2" w:rsidRPr="00590AEC" w:rsidRDefault="00A607D2" w:rsidP="00A607D2">
      <w:pPr>
        <w:spacing w:before="100" w:beforeAutospacing="1" w:after="100" w:afterAutospacing="1" w:line="240" w:lineRule="auto"/>
        <w:ind w:right="567"/>
        <w:jc w:val="both"/>
        <w:rPr>
          <w:rFonts w:ascii="Times New Roman" w:hAnsi="Times New Roman" w:cs="Times New Roman"/>
          <w:sz w:val="24"/>
          <w:szCs w:val="24"/>
        </w:rPr>
      </w:pPr>
      <w:r w:rsidRPr="00590AEC">
        <w:rPr>
          <w:rFonts w:ascii="Times New Roman" w:hAnsi="Times New Roman" w:cs="Times New Roman"/>
          <w:sz w:val="24"/>
          <w:szCs w:val="24"/>
        </w:rPr>
        <w:t xml:space="preserve">En second lieu, nous proposons trois définitions successives :  </w:t>
      </w:r>
    </w:p>
    <w:p w:rsidR="00A607D2" w:rsidRPr="00FA0828" w:rsidRDefault="00A607D2" w:rsidP="00A607D2">
      <w:pPr>
        <w:spacing w:before="100" w:beforeAutospacing="1" w:after="100" w:afterAutospacing="1" w:line="240" w:lineRule="auto"/>
        <w:ind w:left="567" w:right="567"/>
        <w:jc w:val="both"/>
        <w:rPr>
          <w:rFonts w:ascii="Times New Roman" w:hAnsi="Times New Roman" w:cs="Times New Roman"/>
          <w:sz w:val="20"/>
          <w:szCs w:val="20"/>
        </w:rPr>
      </w:pPr>
      <w:r w:rsidRPr="00FA0828">
        <w:rPr>
          <w:rFonts w:ascii="Times New Roman" w:hAnsi="Times New Roman" w:cs="Times New Roman"/>
          <w:sz w:val="20"/>
          <w:szCs w:val="20"/>
        </w:rPr>
        <w:t>« Le verbe est un mot non casuel, qui admet temps, personnes et nombres, et qui expri</w:t>
      </w:r>
      <w:r w:rsidRPr="00FA0828">
        <w:rPr>
          <w:rFonts w:ascii="Times New Roman" w:hAnsi="Times New Roman" w:cs="Times New Roman"/>
          <w:sz w:val="20"/>
          <w:szCs w:val="20"/>
        </w:rPr>
        <w:softHyphen/>
        <w:t>me l’actif ou le passif. Il y a huit accidents du verbe : le mode, la diathèse, l’espèce, la figure, le nombre, le temps, la conjugaison »</w:t>
      </w:r>
      <w:r w:rsidRPr="00FA0828">
        <w:rPr>
          <w:rStyle w:val="Appelnotedebasdep"/>
          <w:rFonts w:ascii="Times New Roman" w:hAnsi="Times New Roman" w:cs="Times New Roman"/>
          <w:sz w:val="20"/>
          <w:szCs w:val="20"/>
        </w:rPr>
        <w:footnoteReference w:id="4"/>
      </w:r>
      <w:r>
        <w:rPr>
          <w:rFonts w:ascii="Times New Roman" w:hAnsi="Times New Roman" w:cs="Times New Roman"/>
          <w:sz w:val="20"/>
          <w:szCs w:val="20"/>
        </w:rPr>
        <w:t xml:space="preserve"> </w:t>
      </w:r>
    </w:p>
    <w:p w:rsidR="00A607D2" w:rsidRPr="00FA0828" w:rsidRDefault="00A607D2" w:rsidP="00A607D2">
      <w:pPr>
        <w:pStyle w:val="citation"/>
        <w:ind w:left="567" w:right="567"/>
        <w:jc w:val="both"/>
        <w:rPr>
          <w:sz w:val="20"/>
          <w:szCs w:val="20"/>
        </w:rPr>
      </w:pPr>
      <w:r w:rsidRPr="00FA0828">
        <w:rPr>
          <w:sz w:val="20"/>
          <w:szCs w:val="20"/>
        </w:rPr>
        <w:t xml:space="preserve"> « En tant que classe formelle, le </w:t>
      </w:r>
      <w:r w:rsidRPr="00FA0828">
        <w:rPr>
          <w:rStyle w:val="Accentuation"/>
          <w:sz w:val="20"/>
          <w:szCs w:val="20"/>
        </w:rPr>
        <w:t>verbe</w:t>
      </w:r>
      <w:r w:rsidRPr="00FA0828">
        <w:rPr>
          <w:sz w:val="20"/>
          <w:szCs w:val="20"/>
        </w:rPr>
        <w:t xml:space="preserve"> se signale par un ensemble de marques qui le met en relation de dépendance avec diverses classes conceptuelles : – marques de la personne [...] – marques du nombre [...] – marques du temps et de l’aspect [...] – marques du mode »</w:t>
      </w:r>
      <w:r w:rsidRPr="00FA0828">
        <w:rPr>
          <w:rStyle w:val="Appelnotedebasdep"/>
          <w:sz w:val="20"/>
          <w:szCs w:val="20"/>
        </w:rPr>
        <w:footnoteReference w:id="5"/>
      </w:r>
      <w:r w:rsidRPr="00FA0828">
        <w:rPr>
          <w:sz w:val="20"/>
          <w:szCs w:val="20"/>
        </w:rPr>
        <w:t xml:space="preserve"> </w:t>
      </w:r>
    </w:p>
    <w:p w:rsidR="00A607D2" w:rsidRPr="00FA0828" w:rsidRDefault="00A607D2" w:rsidP="00A607D2">
      <w:pPr>
        <w:pStyle w:val="citation"/>
        <w:ind w:left="567" w:right="567"/>
        <w:jc w:val="both"/>
        <w:rPr>
          <w:sz w:val="20"/>
          <w:szCs w:val="20"/>
        </w:rPr>
      </w:pPr>
      <w:r w:rsidRPr="00FA0828">
        <w:rPr>
          <w:sz w:val="20"/>
          <w:szCs w:val="20"/>
        </w:rPr>
        <w:t>« Morphologiquement, le verbe est un mot variable qui se conjugue, c’est-à-dire qui est affecté par plusieurs catégories morphologiques. Il reçoit les marques spécifiques (les désinences) correspondant au plan de la signification, au nombre (comme le nom), à la personne, au temps et au mode »</w:t>
      </w:r>
      <w:r w:rsidRPr="00FA0828">
        <w:rPr>
          <w:rStyle w:val="Appelnotedebasdep"/>
          <w:sz w:val="20"/>
          <w:szCs w:val="20"/>
        </w:rPr>
        <w:footnoteReference w:id="6"/>
      </w:r>
      <w:r w:rsidRPr="00FA0828">
        <w:rPr>
          <w:sz w:val="20"/>
          <w:szCs w:val="20"/>
        </w:rPr>
        <w:t xml:space="preserve"> </w:t>
      </w: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Cette série de définitions, quoique s’inscrivant dans des optiques différentes, convergent toutes vers le critère de variabilité morphologique (flexion) du verbe selon nombre de points, entre autres la personne, le temps, la diathèse (la voix), le mode….  </w:t>
      </w: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morphologie demeure toutefois un critère important dans le processus de la maitrise de la conjugaison et dans la maitrise des différentes formes verbales. Il serait </w:t>
      </w:r>
      <w:r>
        <w:rPr>
          <w:rFonts w:ascii="Times New Roman" w:hAnsi="Times New Roman" w:cs="Times New Roman"/>
          <w:sz w:val="24"/>
          <w:szCs w:val="24"/>
        </w:rPr>
        <w:lastRenderedPageBreak/>
        <w:t xml:space="preserve">donc judicieux d’initier les apprenants aux différentes approches traitant de la morphologie non seulement verbale mais aussi nominale et adjectivale, où ces trois types partagent nombre de points communs, fait que nous allons détailler dans la suite de ce cours.  </w:t>
      </w:r>
    </w:p>
    <w:p w:rsidR="00A607D2" w:rsidRDefault="00A607D2" w:rsidP="00A607D2">
      <w:pPr>
        <w:spacing w:after="0" w:line="360" w:lineRule="auto"/>
        <w:jc w:val="both"/>
        <w:rPr>
          <w:rFonts w:ascii="Times New Roman" w:hAnsi="Times New Roman" w:cs="Times New Roman"/>
          <w:sz w:val="24"/>
          <w:szCs w:val="24"/>
        </w:rPr>
      </w:pPr>
    </w:p>
    <w:p w:rsidR="00A607D2" w:rsidRDefault="00A607D2" w:rsidP="00A607D2">
      <w:pPr>
        <w:numPr>
          <w:ilvl w:val="0"/>
          <w:numId w:val="4"/>
        </w:numPr>
        <w:jc w:val="both"/>
        <w:rPr>
          <w:rFonts w:ascii="Times New Roman" w:hAnsi="Times New Roman" w:cs="Times New Roman"/>
          <w:b/>
          <w:bCs/>
          <w:sz w:val="24"/>
          <w:szCs w:val="24"/>
        </w:rPr>
      </w:pPr>
      <w:r w:rsidRPr="000541D8">
        <w:rPr>
          <w:rFonts w:ascii="Times New Roman" w:hAnsi="Times New Roman" w:cs="Times New Roman"/>
          <w:b/>
          <w:bCs/>
          <w:sz w:val="24"/>
          <w:szCs w:val="24"/>
        </w:rPr>
        <w:t xml:space="preserve">Le verbe entre grammaire et linguistique : </w:t>
      </w: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En grammaire, le verbe est l’une des dix parties de discours, connu par sa caractéristique exclusive, la conjugaison. La déclinaison, à côté de cette dernière, relève des systèmes flexionnels nominaux, adjectivaux et pronominaux. </w:t>
      </w:r>
    </w:p>
    <w:p w:rsidR="00A607D2" w:rsidRDefault="00A607D2" w:rsidP="00A607D2">
      <w:pPr>
        <w:spacing w:after="0" w:line="360" w:lineRule="auto"/>
        <w:jc w:val="both"/>
        <w:rPr>
          <w:rFonts w:ascii="Times New Roman" w:hAnsi="Times New Roman" w:cs="Times New Roman"/>
          <w:sz w:val="24"/>
          <w:szCs w:val="24"/>
        </w:rPr>
      </w:pPr>
    </w:p>
    <w:p w:rsidR="00A607D2" w:rsidRDefault="00A607D2" w:rsidP="00A607D2">
      <w:pPr>
        <w:spacing w:after="0" w:line="360" w:lineRule="auto"/>
        <w:jc w:val="both"/>
        <w:rPr>
          <w:rFonts w:ascii="Times New Roman" w:hAnsi="Times New Roman" w:cs="Times New Roman"/>
          <w:sz w:val="24"/>
          <w:szCs w:val="24"/>
        </w:rPr>
      </w:pPr>
    </w:p>
    <w:p w:rsidR="00A607D2" w:rsidRDefault="00A607D2" w:rsidP="00A607D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tableau suivant montre la différence entre conjugaison et flexion : </w:t>
      </w:r>
    </w:p>
    <w:p w:rsidR="00A607D2" w:rsidRDefault="00A607D2" w:rsidP="00A607D2">
      <w:pPr>
        <w:spacing w:after="0" w:line="360" w:lineRule="auto"/>
        <w:jc w:val="both"/>
        <w:rPr>
          <w:rFonts w:ascii="Times New Roman" w:hAnsi="Times New Roman" w:cs="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4196"/>
      </w:tblGrid>
      <w:tr w:rsidR="00A607D2" w:rsidRPr="000333DF" w:rsidTr="001D14A0">
        <w:tc>
          <w:tcPr>
            <w:tcW w:w="4111" w:type="dxa"/>
            <w:shd w:val="clear" w:color="auto" w:fill="DDD9C3"/>
          </w:tcPr>
          <w:p w:rsidR="00A607D2" w:rsidRPr="000333DF" w:rsidRDefault="00A607D2" w:rsidP="001D14A0">
            <w:pPr>
              <w:spacing w:after="0" w:line="360" w:lineRule="auto"/>
              <w:jc w:val="center"/>
              <w:rPr>
                <w:rFonts w:ascii="Times New Roman" w:hAnsi="Times New Roman" w:cs="Times New Roman"/>
                <w:b/>
                <w:bCs/>
                <w:sz w:val="24"/>
                <w:szCs w:val="24"/>
              </w:rPr>
            </w:pPr>
            <w:r w:rsidRPr="000333DF">
              <w:rPr>
                <w:rFonts w:ascii="Times New Roman" w:hAnsi="Times New Roman" w:cs="Times New Roman"/>
                <w:b/>
                <w:bCs/>
                <w:sz w:val="24"/>
                <w:szCs w:val="24"/>
              </w:rPr>
              <w:t>Conjugaison</w:t>
            </w:r>
          </w:p>
        </w:tc>
        <w:tc>
          <w:tcPr>
            <w:tcW w:w="4394" w:type="dxa"/>
            <w:shd w:val="clear" w:color="auto" w:fill="DDD9C3"/>
          </w:tcPr>
          <w:p w:rsidR="00A607D2" w:rsidRPr="000333DF" w:rsidRDefault="00A607D2" w:rsidP="001D14A0">
            <w:pPr>
              <w:spacing w:after="0" w:line="360" w:lineRule="auto"/>
              <w:jc w:val="center"/>
              <w:rPr>
                <w:rFonts w:ascii="Times New Roman" w:hAnsi="Times New Roman" w:cs="Times New Roman"/>
                <w:b/>
                <w:bCs/>
                <w:sz w:val="24"/>
                <w:szCs w:val="24"/>
              </w:rPr>
            </w:pPr>
            <w:r w:rsidRPr="000333DF">
              <w:rPr>
                <w:rFonts w:ascii="Times New Roman" w:hAnsi="Times New Roman" w:cs="Times New Roman"/>
                <w:b/>
                <w:bCs/>
                <w:sz w:val="24"/>
                <w:szCs w:val="24"/>
              </w:rPr>
              <w:t>Déclinaison</w:t>
            </w:r>
          </w:p>
        </w:tc>
      </w:tr>
      <w:tr w:rsidR="00A607D2" w:rsidRPr="000333DF" w:rsidTr="001D14A0">
        <w:tc>
          <w:tcPr>
            <w:tcW w:w="4111" w:type="dxa"/>
          </w:tcPr>
          <w:p w:rsidR="00A607D2" w:rsidRPr="000333DF" w:rsidRDefault="00A607D2" w:rsidP="00A607D2">
            <w:pPr>
              <w:numPr>
                <w:ilvl w:val="0"/>
                <w:numId w:val="1"/>
              </w:numPr>
              <w:spacing w:after="0" w:line="240" w:lineRule="auto"/>
              <w:ind w:left="714" w:hanging="357"/>
              <w:jc w:val="both"/>
              <w:rPr>
                <w:rFonts w:ascii="Times New Roman" w:hAnsi="Times New Roman" w:cs="Times New Roman"/>
                <w:sz w:val="24"/>
                <w:szCs w:val="24"/>
              </w:rPr>
            </w:pPr>
            <w:r w:rsidRPr="000333DF">
              <w:rPr>
                <w:rFonts w:ascii="Times New Roman" w:hAnsi="Times New Roman" w:cs="Times New Roman"/>
                <w:sz w:val="24"/>
                <w:szCs w:val="24"/>
              </w:rPr>
              <w:t>Elle concerne les verbes et leur modification selon les personnes, les modes, la voix…</w:t>
            </w:r>
          </w:p>
        </w:tc>
        <w:tc>
          <w:tcPr>
            <w:tcW w:w="4394" w:type="dxa"/>
          </w:tcPr>
          <w:p w:rsidR="00A607D2" w:rsidRPr="000333DF" w:rsidRDefault="00A607D2" w:rsidP="00A607D2">
            <w:pPr>
              <w:numPr>
                <w:ilvl w:val="0"/>
                <w:numId w:val="1"/>
              </w:numPr>
              <w:spacing w:after="0" w:line="240" w:lineRule="auto"/>
              <w:ind w:left="714" w:hanging="357"/>
              <w:jc w:val="both"/>
              <w:rPr>
                <w:rFonts w:ascii="Times New Roman" w:hAnsi="Times New Roman" w:cs="Times New Roman"/>
                <w:sz w:val="24"/>
                <w:szCs w:val="24"/>
              </w:rPr>
            </w:pPr>
            <w:r w:rsidRPr="000333DF">
              <w:rPr>
                <w:rFonts w:ascii="Times New Roman" w:hAnsi="Times New Roman" w:cs="Times New Roman"/>
                <w:sz w:val="24"/>
                <w:szCs w:val="24"/>
              </w:rPr>
              <w:t xml:space="preserve">Elle concerne la modification des noms, des adjectifs et des pronoms selon le genre et le nombre.   </w:t>
            </w:r>
          </w:p>
        </w:tc>
      </w:tr>
    </w:tbl>
    <w:p w:rsidR="00A607D2" w:rsidRDefault="00A607D2" w:rsidP="00A607D2">
      <w:pPr>
        <w:tabs>
          <w:tab w:val="left" w:pos="3015"/>
          <w:tab w:val="left" w:pos="831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rsidR="00A607D2" w:rsidRDefault="00A607D2" w:rsidP="00A607D2">
      <w:pPr>
        <w:tabs>
          <w:tab w:val="left" w:pos="3015"/>
        </w:tabs>
        <w:spacing w:after="0" w:line="360" w:lineRule="auto"/>
        <w:jc w:val="center"/>
        <w:rPr>
          <w:rFonts w:ascii="Times New Roman" w:hAnsi="Times New Roman" w:cs="Times New Roman"/>
          <w:b/>
          <w:bCs/>
          <w:sz w:val="24"/>
          <w:szCs w:val="24"/>
        </w:rPr>
      </w:pPr>
      <w:r w:rsidRPr="002E79F6">
        <w:rPr>
          <w:rFonts w:ascii="Times New Roman" w:hAnsi="Times New Roman" w:cs="Times New Roman"/>
          <w:b/>
          <w:bCs/>
          <w:sz w:val="24"/>
          <w:szCs w:val="24"/>
        </w:rPr>
        <w:t xml:space="preserve">Tableau comparatif entre conjugaison et déclinaison </w:t>
      </w:r>
    </w:p>
    <w:p w:rsidR="00A607D2" w:rsidRDefault="00A607D2" w:rsidP="00A607D2">
      <w:pPr>
        <w:tabs>
          <w:tab w:val="left" w:pos="3015"/>
        </w:tabs>
        <w:spacing w:after="0" w:line="360" w:lineRule="auto"/>
        <w:rPr>
          <w:rFonts w:ascii="Times New Roman" w:hAnsi="Times New Roman" w:cs="Times New Roman"/>
          <w:sz w:val="24"/>
          <w:szCs w:val="24"/>
        </w:rPr>
      </w:pPr>
    </w:p>
    <w:p w:rsidR="00A607D2" w:rsidRDefault="00A607D2" w:rsidP="00A607D2">
      <w:pPr>
        <w:tabs>
          <w:tab w:val="left" w:pos="301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En linguistique, le verbe est vu autrement et sous plusieurs angles, sémantique, morphosyntaxique, phonologique ou autre. Ce dernier nous intéresse le plus dans ce volume de formation, là où nous sommes parti d’un regard morpho-phonologique basé sur deux lois importantes : la première présente le système verbal flexionnel et son rapport à la dérivation, la seconde spécifie le mode d’accrochage des désinences des deux futurs en français (I) et (II).</w:t>
      </w:r>
    </w:p>
    <w:p w:rsidR="00A607D2" w:rsidRDefault="00A607D2" w:rsidP="00A607D2">
      <w:pPr>
        <w:tabs>
          <w:tab w:val="left" w:pos="3015"/>
        </w:tabs>
        <w:spacing w:after="0" w:line="360" w:lineRule="auto"/>
        <w:jc w:val="both"/>
        <w:rPr>
          <w:rFonts w:ascii="Times New Roman" w:hAnsi="Times New Roman" w:cs="Times New Roman"/>
          <w:sz w:val="24"/>
          <w:szCs w:val="24"/>
        </w:rPr>
      </w:pPr>
    </w:p>
    <w:p w:rsidR="00A607D2" w:rsidRDefault="00A607D2" w:rsidP="00A607D2">
      <w:pPr>
        <w:tabs>
          <w:tab w:val="left" w:pos="301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Ces deux lois, qui seront expliquées dans les cours qui viennent, introduisent et explique la systématicité de la conjugaison française, </w:t>
      </w:r>
    </w:p>
    <w:p w:rsidR="00A607D2" w:rsidRDefault="00A607D2" w:rsidP="00A607D2">
      <w:pPr>
        <w:tabs>
          <w:tab w:val="left" w:pos="3015"/>
        </w:tabs>
        <w:spacing w:after="0" w:line="360" w:lineRule="auto"/>
        <w:jc w:val="both"/>
        <w:rPr>
          <w:rFonts w:ascii="Times New Roman" w:hAnsi="Times New Roman" w:cs="Times New Roman"/>
          <w:sz w:val="24"/>
          <w:szCs w:val="24"/>
        </w:rPr>
      </w:pPr>
    </w:p>
    <w:p w:rsidR="00A607D2" w:rsidRDefault="00A607D2" w:rsidP="00A607D2">
      <w:pPr>
        <w:numPr>
          <w:ilvl w:val="0"/>
          <w:numId w:val="4"/>
        </w:numPr>
        <w:tabs>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b/>
          <w:bCs/>
        </w:rPr>
        <w:t xml:space="preserve">Difficultés de la </w:t>
      </w:r>
      <w:r w:rsidRPr="00FE1D5D">
        <w:rPr>
          <w:rFonts w:ascii="Times New Roman" w:hAnsi="Times New Roman" w:cs="Times New Roman"/>
          <w:b/>
          <w:bCs/>
        </w:rPr>
        <w:t>conjugaison en classe de FLE</w:t>
      </w:r>
    </w:p>
    <w:p w:rsidR="00A607D2" w:rsidRDefault="00A607D2" w:rsidP="00A607D2">
      <w:pPr>
        <w:tabs>
          <w:tab w:val="left" w:pos="3015"/>
        </w:tabs>
        <w:spacing w:after="0" w:line="360" w:lineRule="auto"/>
        <w:jc w:val="both"/>
        <w:rPr>
          <w:rFonts w:ascii="Times New Roman" w:hAnsi="Times New Roman" w:cs="Times New Roman"/>
          <w:sz w:val="24"/>
          <w:szCs w:val="24"/>
        </w:rPr>
      </w:pPr>
    </w:p>
    <w:p w:rsidR="00A607D2" w:rsidRDefault="00A607D2" w:rsidP="00A607D2">
      <w:pPr>
        <w:tabs>
          <w:tab w:val="left" w:pos="301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Les difficultés de la conjugaison en classe de langue sont majoritairement liées à deux aspects </w:t>
      </w:r>
      <w:proofErr w:type="gramStart"/>
      <w:r>
        <w:rPr>
          <w:rFonts w:ascii="Times New Roman" w:hAnsi="Times New Roman" w:cs="Times New Roman"/>
          <w:sz w:val="24"/>
          <w:szCs w:val="24"/>
        </w:rPr>
        <w:t>fort</w:t>
      </w:r>
      <w:proofErr w:type="gramEnd"/>
      <w:r>
        <w:rPr>
          <w:rFonts w:ascii="Times New Roman" w:hAnsi="Times New Roman" w:cs="Times New Roman"/>
          <w:sz w:val="24"/>
          <w:szCs w:val="24"/>
        </w:rPr>
        <w:t xml:space="preserve"> importants : </w:t>
      </w:r>
    </w:p>
    <w:p w:rsidR="00A607D2" w:rsidRDefault="00A607D2" w:rsidP="00A607D2">
      <w:pPr>
        <w:numPr>
          <w:ilvl w:val="0"/>
          <w:numId w:val="1"/>
        </w:numPr>
        <w:tabs>
          <w:tab w:val="left" w:pos="709"/>
        </w:tabs>
        <w:spacing w:after="0" w:line="360" w:lineRule="auto"/>
        <w:jc w:val="both"/>
        <w:rPr>
          <w:rFonts w:ascii="Times New Roman" w:hAnsi="Times New Roman" w:cs="Times New Roman"/>
          <w:sz w:val="24"/>
          <w:szCs w:val="24"/>
        </w:rPr>
      </w:pPr>
      <w:r w:rsidRPr="000D4C19">
        <w:rPr>
          <w:rFonts w:ascii="Times New Roman" w:hAnsi="Times New Roman" w:cs="Times New Roman"/>
          <w:b/>
          <w:bCs/>
          <w:sz w:val="24"/>
          <w:szCs w:val="24"/>
        </w:rPr>
        <w:lastRenderedPageBreak/>
        <w:t>La forme (la morphologie) </w:t>
      </w:r>
      <w:r>
        <w:rPr>
          <w:rFonts w:ascii="Times New Roman" w:hAnsi="Times New Roman" w:cs="Times New Roman"/>
          <w:sz w:val="24"/>
          <w:szCs w:val="24"/>
        </w:rPr>
        <w:t xml:space="preserve">: des difficultés sont repérées au niveau de la maitrise de l’orthographe des formes verbales, simples, composées ou surcomposées. L’apprenant de français langue étrangère se trouve en effet en face d’une multitude de formes très variées, il se trouve incapable d’en choisir la plus correcte. La bonne maitrise de ces formes nécessite un enseignement plus efficace et plus logique, différent de l’enseignement traditionnel, essentiellement basé sur l’apprentissage par cœur et sur la récitation, qui ne fait absolument pas référence à des lois systémiques de présentation et de distributions des formes verbales en question. </w:t>
      </w:r>
    </w:p>
    <w:p w:rsidR="00A607D2" w:rsidRDefault="00A607D2" w:rsidP="00A607D2">
      <w:pPr>
        <w:numPr>
          <w:ilvl w:val="0"/>
          <w:numId w:val="1"/>
        </w:num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La sémantique des formes verbales </w:t>
      </w:r>
      <w:r>
        <w:rPr>
          <w:rFonts w:ascii="Times New Roman" w:hAnsi="Times New Roman" w:cs="Times New Roman"/>
          <w:sz w:val="24"/>
          <w:szCs w:val="24"/>
        </w:rPr>
        <w:t xml:space="preserve">: la deuxième difficulté est liée à la maitrise des temps verbaux en français. Nous savons d’emblée que le français est une langue riche en matière de temps, vu son instabilité diachronique et orthographique. L’apprenant, face à cette richesse, se heurte à des difficultés d’employer le temps le plus judicieux et le plus acceptable : </w:t>
      </w:r>
    </w:p>
    <w:p w:rsidR="00A607D2" w:rsidRDefault="00A607D2" w:rsidP="00A607D2">
      <w:pPr>
        <w:numPr>
          <w:ilvl w:val="0"/>
          <w:numId w:val="5"/>
        </w:num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Il dit qu’il viendra</w:t>
      </w:r>
      <w:r w:rsidRPr="0072522C">
        <w:rPr>
          <w:rFonts w:ascii="Times New Roman" w:hAnsi="Times New Roman" w:cs="Times New Roman"/>
          <w:sz w:val="24"/>
          <w:szCs w:val="24"/>
        </w:rPr>
        <w:t>.</w:t>
      </w:r>
    </w:p>
    <w:p w:rsidR="00A607D2" w:rsidRDefault="00A607D2" w:rsidP="00A607D2">
      <w:pPr>
        <w:numPr>
          <w:ilvl w:val="0"/>
          <w:numId w:val="5"/>
        </w:numPr>
        <w:tabs>
          <w:tab w:val="left" w:pos="709"/>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Il disait qu’il viendrait</w:t>
      </w:r>
      <w:r w:rsidRPr="0072522C">
        <w:rPr>
          <w:rFonts w:ascii="Times New Roman" w:hAnsi="Times New Roman" w:cs="Times New Roman"/>
          <w:sz w:val="24"/>
          <w:szCs w:val="24"/>
        </w:rPr>
        <w:t>.</w:t>
      </w:r>
      <w:r>
        <w:rPr>
          <w:rFonts w:ascii="Times New Roman" w:hAnsi="Times New Roman" w:cs="Times New Roman"/>
          <w:sz w:val="24"/>
          <w:szCs w:val="24"/>
        </w:rPr>
        <w:t xml:space="preserve"> </w:t>
      </w:r>
    </w:p>
    <w:p w:rsidR="00A607D2" w:rsidRDefault="00A607D2" w:rsidP="00A607D2">
      <w:pPr>
        <w:tabs>
          <w:tab w:val="left" w:pos="709"/>
        </w:tabs>
        <w:spacing w:after="0" w:line="360" w:lineRule="auto"/>
        <w:ind w:left="720"/>
        <w:jc w:val="both"/>
        <w:rPr>
          <w:rFonts w:ascii="Times New Roman" w:hAnsi="Times New Roman" w:cs="Times New Roman"/>
          <w:sz w:val="24"/>
          <w:szCs w:val="24"/>
        </w:rPr>
      </w:pPr>
      <w:r>
        <w:rPr>
          <w:rFonts w:ascii="Times New Roman" w:hAnsi="Times New Roman" w:cs="Times New Roman"/>
          <w:sz w:val="24"/>
          <w:szCs w:val="24"/>
        </w:rPr>
        <w:t>A titre d’exemple, à travers les phrases (a) et (b), nous tenterons d’expliquer une des valeurs temporelles du conditionn</w:t>
      </w:r>
      <w:bookmarkStart w:id="0" w:name="_GoBack"/>
      <w:bookmarkEnd w:id="0"/>
      <w:r>
        <w:rPr>
          <w:rFonts w:ascii="Times New Roman" w:hAnsi="Times New Roman" w:cs="Times New Roman"/>
          <w:sz w:val="24"/>
          <w:szCs w:val="24"/>
        </w:rPr>
        <w:t xml:space="preserve">el, celle qui explique que ce dernier peut indiquer « un futur dans le passé ».      </w:t>
      </w:r>
    </w:p>
    <w:p w:rsidR="00A607D2" w:rsidRDefault="00A607D2" w:rsidP="00A607D2">
      <w:pPr>
        <w:tabs>
          <w:tab w:val="left" w:pos="301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607D2" w:rsidRPr="006927EF" w:rsidRDefault="00A607D2" w:rsidP="00A607D2">
      <w:pPr>
        <w:tabs>
          <w:tab w:val="left" w:pos="3015"/>
        </w:tabs>
        <w:spacing w:after="0" w:line="360" w:lineRule="auto"/>
        <w:jc w:val="both"/>
        <w:rPr>
          <w:rFonts w:ascii="Times New Roman" w:hAnsi="Times New Roman" w:cs="Times New Roman"/>
          <w:b/>
          <w:bCs/>
          <w:sz w:val="24"/>
          <w:szCs w:val="24"/>
        </w:rPr>
      </w:pPr>
      <w:r w:rsidRPr="006927EF">
        <w:rPr>
          <w:rFonts w:ascii="Times New Roman" w:hAnsi="Times New Roman" w:cs="Times New Roman"/>
          <w:b/>
          <w:bCs/>
          <w:sz w:val="24"/>
          <w:szCs w:val="24"/>
        </w:rPr>
        <w:t xml:space="preserve">Conclusion : </w:t>
      </w:r>
    </w:p>
    <w:p w:rsidR="00A607D2" w:rsidRDefault="00A607D2" w:rsidP="00A607D2">
      <w:pPr>
        <w:tabs>
          <w:tab w:val="left" w:pos="3015"/>
        </w:tabs>
        <w:spacing w:after="0" w:line="360" w:lineRule="auto"/>
        <w:jc w:val="both"/>
        <w:rPr>
          <w:rFonts w:ascii="Times New Roman" w:hAnsi="Times New Roman" w:cs="Times New Roman"/>
          <w:sz w:val="24"/>
          <w:szCs w:val="24"/>
        </w:rPr>
      </w:pPr>
    </w:p>
    <w:p w:rsidR="00561A8A" w:rsidRDefault="00A607D2" w:rsidP="002A00B6">
      <w:pPr>
        <w:jc w:val="both"/>
      </w:pPr>
      <w:r>
        <w:rPr>
          <w:rFonts w:ascii="Times New Roman" w:hAnsi="Times New Roman" w:cs="Times New Roman"/>
          <w:sz w:val="24"/>
          <w:szCs w:val="24"/>
        </w:rPr>
        <w:t>Nous avons avancé dans ce cours, traitant du verbe entre linguistique et grammaire, quelques orientations théoriques et pratiques liées à l’importance de cette catégorie de discours. Le verbe étant le pivot de la communication a, en effet, une importance majeure dans les études linguistiques et grammaticales anciennes (classiques ou traditionnelles) et modernes (actuelles). Ce chapitre a mis le point sur le verbe de point de vue notionnel ou conceptuel, puis a avancé nombre de difficultés inhérentes à sa maitrise sur un plan double : morphologique et sémantique. Comme il a de l’importance sur le plan didactique, nous avons également dénombré certaines difficultés de l’enseignement-apprentissage de la conjugaison en classe de FLE.</w:t>
      </w:r>
    </w:p>
    <w:sectPr w:rsidR="00561A8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B3B" w:rsidRDefault="00480B3B" w:rsidP="00A607D2">
      <w:pPr>
        <w:spacing w:after="0" w:line="240" w:lineRule="auto"/>
      </w:pPr>
      <w:r>
        <w:separator/>
      </w:r>
    </w:p>
  </w:endnote>
  <w:endnote w:type="continuationSeparator" w:id="0">
    <w:p w:rsidR="00480B3B" w:rsidRDefault="00480B3B" w:rsidP="00A60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B3B" w:rsidRDefault="00480B3B" w:rsidP="00A607D2">
      <w:pPr>
        <w:spacing w:after="0" w:line="240" w:lineRule="auto"/>
      </w:pPr>
      <w:r>
        <w:separator/>
      </w:r>
    </w:p>
  </w:footnote>
  <w:footnote w:type="continuationSeparator" w:id="0">
    <w:p w:rsidR="00480B3B" w:rsidRDefault="00480B3B" w:rsidP="00A607D2">
      <w:pPr>
        <w:spacing w:after="0" w:line="240" w:lineRule="auto"/>
      </w:pPr>
      <w:r>
        <w:continuationSeparator/>
      </w:r>
    </w:p>
  </w:footnote>
  <w:footnote w:id="1">
    <w:p w:rsidR="00A607D2" w:rsidRDefault="00A607D2" w:rsidP="00A607D2">
      <w:pPr>
        <w:pStyle w:val="Notedebasdepage"/>
      </w:pPr>
      <w:r w:rsidRPr="007A4028">
        <w:rPr>
          <w:rStyle w:val="Appelnotedebasdep"/>
          <w:b/>
          <w:bCs/>
        </w:rPr>
        <w:footnoteRef/>
      </w:r>
      <w:r>
        <w:t xml:space="preserve"> Guillaume G., </w:t>
      </w:r>
      <w:r>
        <w:rPr>
          <w:rStyle w:val="Accentuation"/>
        </w:rPr>
        <w:t>Temps et Verbe</w:t>
      </w:r>
      <w:r>
        <w:t xml:space="preserve"> [1929], Paris, Champion, 1993. </w:t>
      </w:r>
    </w:p>
  </w:footnote>
  <w:footnote w:id="2">
    <w:p w:rsidR="00A607D2" w:rsidRPr="00B51591" w:rsidRDefault="00A607D2" w:rsidP="00A607D2">
      <w:pPr>
        <w:pStyle w:val="Notedebasdepage"/>
      </w:pPr>
      <w:r w:rsidRPr="00E70A1B">
        <w:rPr>
          <w:rStyle w:val="Appelnotedebasdep"/>
          <w:b/>
          <w:bCs/>
        </w:rPr>
        <w:footnoteRef/>
      </w:r>
      <w:r w:rsidRPr="00B51591">
        <w:t xml:space="preserve"> </w:t>
      </w:r>
      <w:proofErr w:type="spellStart"/>
      <w:r w:rsidRPr="00B51591">
        <w:t>Imbs</w:t>
      </w:r>
      <w:proofErr w:type="spellEnd"/>
      <w:r w:rsidRPr="00B51591">
        <w:t xml:space="preserve"> P., </w:t>
      </w:r>
      <w:r w:rsidRPr="00B51591">
        <w:rPr>
          <w:rStyle w:val="Accentuation"/>
        </w:rPr>
        <w:t>L’Emploi des temps verbaux en français moderne</w:t>
      </w:r>
      <w:r w:rsidRPr="00B51591">
        <w:t xml:space="preserve">, Paris, </w:t>
      </w:r>
      <w:proofErr w:type="spellStart"/>
      <w:r w:rsidRPr="00B51591">
        <w:t>Klincksieck</w:t>
      </w:r>
      <w:proofErr w:type="spellEnd"/>
      <w:r w:rsidRPr="00B51591">
        <w:t>, 1968.</w:t>
      </w:r>
    </w:p>
  </w:footnote>
  <w:footnote w:id="3">
    <w:p w:rsidR="00A607D2" w:rsidRPr="002E431E" w:rsidRDefault="00A607D2" w:rsidP="00A607D2">
      <w:pPr>
        <w:autoSpaceDE w:val="0"/>
        <w:autoSpaceDN w:val="0"/>
        <w:adjustRightInd w:val="0"/>
        <w:spacing w:after="0" w:line="240" w:lineRule="auto"/>
        <w:jc w:val="both"/>
        <w:rPr>
          <w:rFonts w:ascii="Times New Roman" w:hAnsi="Times New Roman" w:cs="Times New Roman"/>
          <w:sz w:val="20"/>
          <w:szCs w:val="20"/>
        </w:rPr>
      </w:pPr>
      <w:r w:rsidRPr="002E431E">
        <w:rPr>
          <w:rStyle w:val="Appelnotedebasdep"/>
          <w:rFonts w:ascii="Times New Roman" w:hAnsi="Times New Roman" w:cs="Times New Roman"/>
          <w:sz w:val="20"/>
          <w:szCs w:val="20"/>
        </w:rPr>
        <w:footnoteRef/>
      </w:r>
      <w:r w:rsidRPr="002E431E">
        <w:rPr>
          <w:rFonts w:ascii="Times New Roman" w:hAnsi="Times New Roman" w:cs="Times New Roman"/>
          <w:sz w:val="20"/>
          <w:szCs w:val="20"/>
        </w:rPr>
        <w:t xml:space="preserve"> Grevisse Maurice, </w:t>
      </w:r>
      <w:proofErr w:type="spellStart"/>
      <w:r w:rsidRPr="002E431E">
        <w:rPr>
          <w:rFonts w:ascii="Times New Roman" w:hAnsi="Times New Roman" w:cs="Times New Roman"/>
          <w:sz w:val="20"/>
          <w:szCs w:val="20"/>
        </w:rPr>
        <w:t>Goosse</w:t>
      </w:r>
      <w:proofErr w:type="spellEnd"/>
      <w:r w:rsidRPr="002E431E">
        <w:rPr>
          <w:rFonts w:ascii="Times New Roman" w:hAnsi="Times New Roman" w:cs="Times New Roman"/>
          <w:sz w:val="20"/>
          <w:szCs w:val="20"/>
        </w:rPr>
        <w:t xml:space="preserve">, André, 1993, </w:t>
      </w:r>
      <w:r w:rsidRPr="002E431E">
        <w:rPr>
          <w:rFonts w:ascii="Times New Roman" w:hAnsi="Times New Roman" w:cs="Times New Roman"/>
          <w:i/>
          <w:iCs/>
          <w:sz w:val="20"/>
          <w:szCs w:val="20"/>
        </w:rPr>
        <w:t xml:space="preserve">Le </w:t>
      </w:r>
      <w:r>
        <w:rPr>
          <w:rFonts w:ascii="Times New Roman" w:hAnsi="Times New Roman" w:cs="Times New Roman"/>
          <w:i/>
          <w:iCs/>
          <w:sz w:val="20"/>
          <w:szCs w:val="20"/>
        </w:rPr>
        <w:t>B</w:t>
      </w:r>
      <w:r w:rsidRPr="002E431E">
        <w:rPr>
          <w:rFonts w:ascii="Times New Roman" w:hAnsi="Times New Roman" w:cs="Times New Roman"/>
          <w:i/>
          <w:iCs/>
          <w:sz w:val="20"/>
          <w:szCs w:val="20"/>
        </w:rPr>
        <w:t xml:space="preserve">on </w:t>
      </w:r>
      <w:r>
        <w:rPr>
          <w:rFonts w:ascii="Times New Roman" w:hAnsi="Times New Roman" w:cs="Times New Roman"/>
          <w:i/>
          <w:iCs/>
          <w:sz w:val="20"/>
          <w:szCs w:val="20"/>
        </w:rPr>
        <w:t>U</w:t>
      </w:r>
      <w:r w:rsidRPr="002E431E">
        <w:rPr>
          <w:rFonts w:ascii="Times New Roman" w:hAnsi="Times New Roman" w:cs="Times New Roman"/>
          <w:i/>
          <w:iCs/>
          <w:sz w:val="20"/>
          <w:szCs w:val="20"/>
        </w:rPr>
        <w:t>sage, Grammaire française</w:t>
      </w:r>
      <w:r w:rsidRPr="002E431E">
        <w:rPr>
          <w:rFonts w:ascii="Times New Roman" w:hAnsi="Times New Roman" w:cs="Times New Roman"/>
          <w:sz w:val="20"/>
          <w:szCs w:val="20"/>
        </w:rPr>
        <w:t>, Louvain-la-Neuve,</w:t>
      </w:r>
      <w:r>
        <w:rPr>
          <w:rFonts w:ascii="Times New Roman" w:hAnsi="Times New Roman" w:cs="Times New Roman"/>
          <w:sz w:val="20"/>
          <w:szCs w:val="20"/>
        </w:rPr>
        <w:t xml:space="preserve"> </w:t>
      </w:r>
      <w:proofErr w:type="spellStart"/>
      <w:r w:rsidRPr="002E431E">
        <w:rPr>
          <w:rFonts w:ascii="Times New Roman" w:hAnsi="Times New Roman" w:cs="Times New Roman"/>
          <w:sz w:val="20"/>
          <w:szCs w:val="20"/>
        </w:rPr>
        <w:t>Duculot</w:t>
      </w:r>
      <w:proofErr w:type="spellEnd"/>
      <w:r w:rsidRPr="002E431E">
        <w:rPr>
          <w:rFonts w:ascii="Times New Roman" w:hAnsi="Times New Roman" w:cs="Times New Roman"/>
          <w:sz w:val="20"/>
          <w:szCs w:val="20"/>
        </w:rPr>
        <w:t>, p. 1118</w:t>
      </w:r>
    </w:p>
  </w:footnote>
  <w:footnote w:id="4">
    <w:p w:rsidR="00A607D2" w:rsidRPr="002E431E" w:rsidRDefault="00A607D2" w:rsidP="00A607D2">
      <w:pPr>
        <w:pStyle w:val="Notedebasdepage"/>
        <w:jc w:val="both"/>
      </w:pPr>
      <w:r w:rsidRPr="002E431E">
        <w:rPr>
          <w:rStyle w:val="Appelnotedebasdep"/>
        </w:rPr>
        <w:footnoteRef/>
      </w:r>
      <w:r w:rsidRPr="002E431E">
        <w:t xml:space="preserve"> </w:t>
      </w:r>
      <w:proofErr w:type="spellStart"/>
      <w:r w:rsidRPr="002E431E">
        <w:t>Lallot</w:t>
      </w:r>
      <w:proofErr w:type="spellEnd"/>
      <w:r w:rsidRPr="002E431E">
        <w:t xml:space="preserve"> Jean, 1998, </w:t>
      </w:r>
      <w:r w:rsidRPr="002E431E">
        <w:rPr>
          <w:i/>
          <w:iCs/>
        </w:rPr>
        <w:t>La grammaire de Denys le Thrace</w:t>
      </w:r>
      <w:r w:rsidRPr="002E431E">
        <w:t>, CNRS, p. 57</w:t>
      </w:r>
    </w:p>
  </w:footnote>
  <w:footnote w:id="5">
    <w:p w:rsidR="00A607D2" w:rsidRPr="002E431E" w:rsidRDefault="00A607D2" w:rsidP="00A607D2">
      <w:pPr>
        <w:pStyle w:val="Notedebasdepage"/>
        <w:jc w:val="both"/>
      </w:pPr>
      <w:r w:rsidRPr="002E431E">
        <w:rPr>
          <w:rStyle w:val="Appelnotedebasdep"/>
        </w:rPr>
        <w:footnoteRef/>
      </w:r>
      <w:r w:rsidRPr="002E431E">
        <w:t xml:space="preserve"> </w:t>
      </w:r>
      <w:proofErr w:type="spellStart"/>
      <w:r w:rsidRPr="002E431E">
        <w:t>Charaudeau</w:t>
      </w:r>
      <w:proofErr w:type="spellEnd"/>
      <w:r w:rsidRPr="002E431E">
        <w:t xml:space="preserve"> Patrick, 1992, </w:t>
      </w:r>
      <w:r w:rsidRPr="002E431E">
        <w:rPr>
          <w:i/>
          <w:iCs/>
        </w:rPr>
        <w:t>Grammaire du sens et de l’expression</w:t>
      </w:r>
      <w:r w:rsidRPr="002E431E">
        <w:t xml:space="preserve">, Hachette, pp 35-36 </w:t>
      </w:r>
    </w:p>
  </w:footnote>
  <w:footnote w:id="6">
    <w:p w:rsidR="00A607D2" w:rsidRPr="002E431E" w:rsidRDefault="00A607D2" w:rsidP="00A607D2">
      <w:pPr>
        <w:pStyle w:val="Notedebasdepage"/>
        <w:jc w:val="both"/>
      </w:pPr>
      <w:r w:rsidRPr="002E431E">
        <w:rPr>
          <w:rStyle w:val="Appelnotedebasdep"/>
        </w:rPr>
        <w:footnoteRef/>
      </w:r>
      <w:r w:rsidRPr="002E431E">
        <w:t xml:space="preserve"> </w:t>
      </w:r>
      <w:proofErr w:type="spellStart"/>
      <w:r w:rsidRPr="002E431E">
        <w:t>Riegel</w:t>
      </w:r>
      <w:proofErr w:type="spellEnd"/>
      <w:r w:rsidRPr="002E431E">
        <w:t xml:space="preserve"> Martin, </w:t>
      </w:r>
      <w:proofErr w:type="spellStart"/>
      <w:r w:rsidRPr="002E431E">
        <w:t>Pellat</w:t>
      </w:r>
      <w:proofErr w:type="spellEnd"/>
      <w:r w:rsidRPr="002E431E">
        <w:t xml:space="preserve"> Jean-Christophe, </w:t>
      </w:r>
      <w:proofErr w:type="spellStart"/>
      <w:r w:rsidRPr="002E431E">
        <w:t>Rioul</w:t>
      </w:r>
      <w:proofErr w:type="spellEnd"/>
      <w:r w:rsidRPr="002E431E">
        <w:t xml:space="preserve"> René, 1994, </w:t>
      </w:r>
      <w:r w:rsidRPr="002E431E">
        <w:rPr>
          <w:i/>
          <w:iCs/>
        </w:rPr>
        <w:t>Grammaire méthodique du français</w:t>
      </w:r>
      <w:r w:rsidRPr="002E431E">
        <w:t>, PUF</w:t>
      </w:r>
      <w:r>
        <w:t xml:space="preserve">, p. 243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32497"/>
    <w:multiLevelType w:val="hybridMultilevel"/>
    <w:tmpl w:val="F5D466BC"/>
    <w:lvl w:ilvl="0" w:tplc="A4E4305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D761C30"/>
    <w:multiLevelType w:val="hybridMultilevel"/>
    <w:tmpl w:val="C0A06C58"/>
    <w:lvl w:ilvl="0" w:tplc="99F00F7E">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
    <w:nsid w:val="4A16010B"/>
    <w:multiLevelType w:val="hybridMultilevel"/>
    <w:tmpl w:val="BC405C32"/>
    <w:lvl w:ilvl="0" w:tplc="29040666">
      <w:start w:val="1"/>
      <w:numFmt w:val="lowerLetter"/>
      <w:lvlText w:val="%1)"/>
      <w:lvlJc w:val="left"/>
      <w:pPr>
        <w:ind w:left="1080" w:hanging="360"/>
      </w:pPr>
      <w:rPr>
        <w:rFonts w:hint="default"/>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5A0B2939"/>
    <w:multiLevelType w:val="hybridMultilevel"/>
    <w:tmpl w:val="72523946"/>
    <w:lvl w:ilvl="0" w:tplc="9E189074">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7F5526DA"/>
    <w:multiLevelType w:val="hybridMultilevel"/>
    <w:tmpl w:val="EDD47F9C"/>
    <w:lvl w:ilvl="0" w:tplc="1E586950">
      <w:start w:val="1"/>
      <w:numFmt w:val="bullet"/>
      <w:lvlText w:val="-"/>
      <w:lvlJc w:val="left"/>
      <w:pPr>
        <w:ind w:left="720" w:hanging="360"/>
      </w:pPr>
      <w:rPr>
        <w:rFonts w:ascii="Times New Roman" w:eastAsia="Times New Roman" w:hAnsi="Times New Roman" w:cs="Times New Roman"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2C6"/>
    <w:rsid w:val="001222C6"/>
    <w:rsid w:val="002A00B6"/>
    <w:rsid w:val="00480B3B"/>
    <w:rsid w:val="00561A8A"/>
    <w:rsid w:val="00A607D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7D2"/>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607D2"/>
    <w:pPr>
      <w:ind w:left="720"/>
      <w:contextualSpacing/>
    </w:pPr>
  </w:style>
  <w:style w:type="paragraph" w:styleId="Notedebasdepage">
    <w:name w:val="footnote text"/>
    <w:aliases w:val=" Car, Car Car Car Car, Car Car Car Car Car"/>
    <w:basedOn w:val="Normal"/>
    <w:link w:val="NotedebasdepageCar"/>
    <w:rsid w:val="00A607D2"/>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A607D2"/>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A607D2"/>
    <w:rPr>
      <w:vertAlign w:val="superscript"/>
    </w:rPr>
  </w:style>
  <w:style w:type="character" w:styleId="Accentuation">
    <w:name w:val="Emphasis"/>
    <w:uiPriority w:val="20"/>
    <w:qFormat/>
    <w:rsid w:val="00A607D2"/>
    <w:rPr>
      <w:i/>
      <w:iCs/>
    </w:rPr>
  </w:style>
  <w:style w:type="paragraph" w:customStyle="1" w:styleId="citation">
    <w:name w:val="citation"/>
    <w:basedOn w:val="Normal"/>
    <w:rsid w:val="00A607D2"/>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7D2"/>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607D2"/>
    <w:pPr>
      <w:ind w:left="720"/>
      <w:contextualSpacing/>
    </w:pPr>
  </w:style>
  <w:style w:type="paragraph" w:styleId="Notedebasdepage">
    <w:name w:val="footnote text"/>
    <w:aliases w:val=" Car, Car Car Car Car, Car Car Car Car Car"/>
    <w:basedOn w:val="Normal"/>
    <w:link w:val="NotedebasdepageCar"/>
    <w:rsid w:val="00A607D2"/>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A607D2"/>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A607D2"/>
    <w:rPr>
      <w:vertAlign w:val="superscript"/>
    </w:rPr>
  </w:style>
  <w:style w:type="character" w:styleId="Accentuation">
    <w:name w:val="Emphasis"/>
    <w:uiPriority w:val="20"/>
    <w:qFormat/>
    <w:rsid w:val="00A607D2"/>
    <w:rPr>
      <w:i/>
      <w:iCs/>
    </w:rPr>
  </w:style>
  <w:style w:type="paragraph" w:customStyle="1" w:styleId="citation">
    <w:name w:val="citation"/>
    <w:basedOn w:val="Normal"/>
    <w:rsid w:val="00A607D2"/>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1106</Words>
  <Characters>6084</Characters>
  <Application>Microsoft Office Word</Application>
  <DocSecurity>0</DocSecurity>
  <Lines>50</Lines>
  <Paragraphs>14</Paragraphs>
  <ScaleCrop>false</ScaleCrop>
  <Company/>
  <LinksUpToDate>false</LinksUpToDate>
  <CharactersWithSpaces>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01</dc:creator>
  <cp:keywords/>
  <dc:description/>
  <cp:lastModifiedBy>POSTE 01</cp:lastModifiedBy>
  <cp:revision>3</cp:revision>
  <dcterms:created xsi:type="dcterms:W3CDTF">2021-03-10T14:46:00Z</dcterms:created>
  <dcterms:modified xsi:type="dcterms:W3CDTF">2021-03-10T14:46:00Z</dcterms:modified>
</cp:coreProperties>
</file>